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 xml:space="preserve">О Б О С Н О В </w:t>
      </w:r>
      <w:proofErr w:type="gramStart"/>
      <w:r w:rsidRPr="00E808CA">
        <w:rPr>
          <w:b/>
          <w:sz w:val="32"/>
          <w:szCs w:val="32"/>
        </w:rPr>
        <w:t>Ы</w:t>
      </w:r>
      <w:proofErr w:type="gramEnd"/>
      <w:r w:rsidRPr="00E808CA">
        <w:rPr>
          <w:b/>
          <w:sz w:val="32"/>
          <w:szCs w:val="32"/>
        </w:rPr>
        <w:t xml:space="preserve">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C5444E">
        <w:rPr>
          <w:b/>
          <w:bCs/>
          <w:sz w:val="28"/>
          <w:szCs w:val="28"/>
        </w:rPr>
        <w:t>Вимовское</w:t>
      </w:r>
      <w:proofErr w:type="spellEnd"/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Описание </w:t>
            </w:r>
            <w:proofErr w:type="gramStart"/>
            <w:r w:rsidRPr="006468F1">
              <w:rPr>
                <w:sz w:val="28"/>
                <w:szCs w:val="28"/>
              </w:rPr>
              <w:t>существующих</w:t>
            </w:r>
            <w:proofErr w:type="gramEnd"/>
            <w:r w:rsidRPr="006468F1">
              <w:rPr>
                <w:sz w:val="28"/>
                <w:szCs w:val="28"/>
              </w:rPr>
              <w:t xml:space="preserve">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A125ED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A125ED">
              <w:rPr>
                <w:sz w:val="28"/>
                <w:szCs w:val="28"/>
              </w:rPr>
              <w:t>«</w:t>
            </w:r>
            <w:proofErr w:type="gramStart"/>
            <w:r w:rsidR="00A125ED">
              <w:rPr>
                <w:sz w:val="28"/>
                <w:szCs w:val="28"/>
              </w:rPr>
              <w:t>к-з</w:t>
            </w:r>
            <w:proofErr w:type="gramEnd"/>
            <w:r w:rsidR="00A125ED">
              <w:rPr>
                <w:sz w:val="28"/>
                <w:szCs w:val="28"/>
              </w:rPr>
              <w:t xml:space="preserve"> Восток» х. </w:t>
            </w:r>
            <w:proofErr w:type="spellStart"/>
            <w:r w:rsidR="00A125ED">
              <w:rPr>
                <w:sz w:val="28"/>
                <w:szCs w:val="28"/>
              </w:rPr>
              <w:t>Болгово</w:t>
            </w:r>
            <w:proofErr w:type="spellEnd"/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C5444E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proofErr w:type="spellStart"/>
            <w:r w:rsidR="00C5444E">
              <w:rPr>
                <w:color w:val="000000"/>
                <w:sz w:val="28"/>
                <w:szCs w:val="28"/>
              </w:rPr>
              <w:t>Вимовскому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E24B7C">
        <w:rPr>
          <w:b w:val="0"/>
          <w:i w:val="0"/>
          <w:sz w:val="28"/>
          <w:szCs w:val="28"/>
        </w:rPr>
        <w:t>Братское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</w:t>
      </w:r>
      <w:proofErr w:type="gramStart"/>
      <w:r w:rsidRPr="00E74D86">
        <w:rPr>
          <w:sz w:val="28"/>
          <w:szCs w:val="28"/>
        </w:rPr>
        <w:t>2</w:t>
      </w:r>
      <w:proofErr w:type="gramEnd"/>
      <w:r w:rsidRPr="00E74D86">
        <w:rPr>
          <w:sz w:val="28"/>
          <w:szCs w:val="28"/>
        </w:rPr>
        <w:t>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Вимовское</w:t>
      </w:r>
      <w:proofErr w:type="spellEnd"/>
      <w:r>
        <w:rPr>
          <w:sz w:val="28"/>
          <w:szCs w:val="28"/>
        </w:rPr>
        <w:t xml:space="preserve">  сельское поселение 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два населенных пункта: поселок </w:t>
      </w:r>
      <w:proofErr w:type="spellStart"/>
      <w:r>
        <w:rPr>
          <w:sz w:val="28"/>
          <w:szCs w:val="28"/>
        </w:rPr>
        <w:t>Вимовец</w:t>
      </w:r>
      <w:proofErr w:type="spellEnd"/>
      <w:r>
        <w:rPr>
          <w:sz w:val="28"/>
          <w:szCs w:val="28"/>
        </w:rPr>
        <w:t xml:space="preserve"> и поселок  Южный.</w:t>
      </w: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 настоящее время указанные населенные пункты 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сельского поселения газифицированы природным газом. </w:t>
      </w: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>
        <w:rPr>
          <w:sz w:val="28"/>
          <w:szCs w:val="28"/>
        </w:rPr>
        <w:t>Вимовского</w:t>
      </w:r>
      <w:proofErr w:type="spellEnd"/>
      <w:r>
        <w:rPr>
          <w:sz w:val="28"/>
          <w:szCs w:val="28"/>
        </w:rPr>
        <w:t xml:space="preserve"> сельского поселения осуществляется от   ГРС «</w:t>
      </w:r>
      <w:proofErr w:type="spellStart"/>
      <w:r>
        <w:rPr>
          <w:sz w:val="28"/>
          <w:szCs w:val="28"/>
        </w:rPr>
        <w:t>Болгов</w:t>
      </w:r>
      <w:proofErr w:type="spellEnd"/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к-з</w:t>
      </w:r>
      <w:proofErr w:type="gramEnd"/>
      <w:r>
        <w:rPr>
          <w:sz w:val="28"/>
          <w:szCs w:val="28"/>
        </w:rPr>
        <w:t xml:space="preserve"> Восток). </w:t>
      </w:r>
    </w:p>
    <w:p w:rsidR="00C5444E" w:rsidRPr="0011652D" w:rsidRDefault="00C5444E" w:rsidP="00C5444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Давление газа на выходе из ГРС – 0,3 МПа,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=10,0 тыс. м</w:t>
      </w:r>
      <w:r w:rsidRPr="0011652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/ч.</w:t>
      </w:r>
    </w:p>
    <w:p w:rsidR="00C5444E" w:rsidRDefault="00C5444E" w:rsidP="00C5444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Существующая </w:t>
      </w:r>
      <w:r w:rsidRPr="00512739">
        <w:rPr>
          <w:sz w:val="28"/>
          <w:szCs w:val="28"/>
        </w:rPr>
        <w:t xml:space="preserve"> потреб</w:t>
      </w:r>
      <w:r>
        <w:rPr>
          <w:sz w:val="28"/>
          <w:szCs w:val="28"/>
        </w:rPr>
        <w:t xml:space="preserve">ность в газе по  </w:t>
      </w:r>
      <w:proofErr w:type="spellStart"/>
      <w:r>
        <w:rPr>
          <w:sz w:val="28"/>
          <w:szCs w:val="28"/>
        </w:rPr>
        <w:t>Вимовскому</w:t>
      </w:r>
      <w:proofErr w:type="spellEnd"/>
      <w:r>
        <w:rPr>
          <w:sz w:val="28"/>
          <w:szCs w:val="28"/>
        </w:rPr>
        <w:t xml:space="preserve">  сельскому поселению </w:t>
      </w:r>
      <w:r w:rsidRPr="00512739">
        <w:rPr>
          <w:sz w:val="28"/>
          <w:szCs w:val="28"/>
        </w:rPr>
        <w:t>составляет</w:t>
      </w:r>
      <w:r>
        <w:rPr>
          <w:sz w:val="28"/>
          <w:szCs w:val="28"/>
        </w:rPr>
        <w:t>:</w:t>
      </w:r>
      <w:r w:rsidRPr="00512739">
        <w:rPr>
          <w:sz w:val="28"/>
          <w:szCs w:val="28"/>
        </w:rPr>
        <w:t xml:space="preserve"> </w:t>
      </w: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-  2919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или    5063,4 тыс.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/ч, </w:t>
      </w: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444E" w:rsidRDefault="00C5444E" w:rsidP="00C5444E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- на  нужды населения –  2838 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или    4916,2 тыс.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/год;</w:t>
      </w:r>
    </w:p>
    <w:p w:rsidR="00C5444E" w:rsidRDefault="00C5444E" w:rsidP="00C5444E">
      <w:pPr>
        <w:ind w:firstLine="708"/>
        <w:rPr>
          <w:sz w:val="28"/>
          <w:szCs w:val="28"/>
        </w:rPr>
      </w:pPr>
      <w:r w:rsidRPr="00145981">
        <w:rPr>
          <w:sz w:val="28"/>
          <w:szCs w:val="28"/>
        </w:rPr>
        <w:t xml:space="preserve">- </w:t>
      </w:r>
      <w:r>
        <w:rPr>
          <w:sz w:val="28"/>
          <w:szCs w:val="28"/>
        </w:rPr>
        <w:t>на нужды котельных – 81</w:t>
      </w:r>
      <w:r w:rsidRPr="00145981">
        <w:rPr>
          <w:sz w:val="28"/>
          <w:szCs w:val="28"/>
        </w:rPr>
        <w:t xml:space="preserve"> м</w:t>
      </w:r>
      <w:r w:rsidRPr="0014598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или   147,2</w:t>
      </w:r>
      <w:r w:rsidRPr="00145981">
        <w:rPr>
          <w:sz w:val="28"/>
          <w:szCs w:val="28"/>
        </w:rPr>
        <w:t xml:space="preserve"> тыс. м</w:t>
      </w:r>
      <w:r w:rsidRPr="00145981">
        <w:rPr>
          <w:sz w:val="28"/>
          <w:szCs w:val="28"/>
          <w:vertAlign w:val="superscript"/>
        </w:rPr>
        <w:t>3</w:t>
      </w:r>
      <w:r w:rsidRPr="00145981">
        <w:rPr>
          <w:sz w:val="28"/>
          <w:szCs w:val="28"/>
        </w:rPr>
        <w:t xml:space="preserve">/год;       </w:t>
      </w:r>
    </w:p>
    <w:p w:rsidR="00C5444E" w:rsidRDefault="00C5444E" w:rsidP="00C5444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Промышленные потребители не учтены.</w:t>
      </w:r>
    </w:p>
    <w:p w:rsidR="005F66E5" w:rsidRDefault="002B572C" w:rsidP="00C5444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proofErr w:type="spellStart"/>
      <w:r w:rsidR="00C5444E">
        <w:rPr>
          <w:rFonts w:ascii="Times New Roman" w:hAnsi="Times New Roman"/>
          <w:szCs w:val="28"/>
        </w:rPr>
        <w:t>Вимовском</w:t>
      </w:r>
      <w:proofErr w:type="spellEnd"/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технического обслуживания и ремонта. Ремонтопригодность заключается в 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proofErr w:type="spellStart"/>
      <w:r w:rsidR="00C5444E">
        <w:rPr>
          <w:rFonts w:ascii="Times New Roman" w:hAnsi="Times New Roman" w:cs="Times New Roman"/>
          <w:sz w:val="28"/>
          <w:szCs w:val="28"/>
        </w:rPr>
        <w:t>Вимовского</w:t>
      </w:r>
      <w:proofErr w:type="spellEnd"/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proofErr w:type="spellStart"/>
      <w:r w:rsidR="00C5444E">
        <w:rPr>
          <w:rFonts w:ascii="Times New Roman" w:hAnsi="Times New Roman" w:cs="Times New Roman"/>
          <w:sz w:val="28"/>
          <w:szCs w:val="28"/>
        </w:rPr>
        <w:t>Вимовского</w:t>
      </w:r>
      <w:proofErr w:type="spellEnd"/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</w:t>
      </w:r>
      <w:proofErr w:type="gramEnd"/>
      <w:r w:rsidRPr="00280B14">
        <w:rPr>
          <w:rFonts w:ascii="Times New Roman" w:hAnsi="Times New Roman" w:cs="Times New Roman"/>
          <w:sz w:val="28"/>
          <w:szCs w:val="28"/>
        </w:rPr>
        <w:t xml:space="preserve">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proofErr w:type="gramStart"/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  <w:proofErr w:type="gramEnd"/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  <w:proofErr w:type="gramEnd"/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proofErr w:type="gramStart"/>
      <w:r w:rsidR="00326CE3">
        <w:rPr>
          <w:b/>
          <w:sz w:val="28"/>
          <w:szCs w:val="28"/>
        </w:rPr>
        <w:t>существующих</w:t>
      </w:r>
      <w:proofErr w:type="gramEnd"/>
      <w:r w:rsidR="00326CE3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proofErr w:type="spellStart"/>
      <w:r w:rsidR="00C5444E">
        <w:rPr>
          <w:sz w:val="28"/>
          <w:szCs w:val="28"/>
        </w:rPr>
        <w:t>Вимовском</w:t>
      </w:r>
      <w:proofErr w:type="spellEnd"/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proofErr w:type="spellStart"/>
      <w:r w:rsidR="00C5444E">
        <w:rPr>
          <w:sz w:val="28"/>
          <w:szCs w:val="28"/>
        </w:rPr>
        <w:t>Вимовского</w:t>
      </w:r>
      <w:proofErr w:type="spellEnd"/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«</w:t>
      </w:r>
      <w:proofErr w:type="gramStart"/>
      <w:r w:rsidR="005909D1" w:rsidRPr="005909D1">
        <w:rPr>
          <w:sz w:val="28"/>
          <w:szCs w:val="28"/>
        </w:rPr>
        <w:t>к-з</w:t>
      </w:r>
      <w:proofErr w:type="gramEnd"/>
      <w:r w:rsidR="005909D1" w:rsidRPr="005909D1">
        <w:rPr>
          <w:sz w:val="28"/>
          <w:szCs w:val="28"/>
        </w:rPr>
        <w:t xml:space="preserve"> Восток» х. </w:t>
      </w:r>
      <w:proofErr w:type="spellStart"/>
      <w:r w:rsidR="005909D1" w:rsidRPr="005909D1">
        <w:rPr>
          <w:sz w:val="28"/>
          <w:szCs w:val="28"/>
        </w:rPr>
        <w:t>Болгово</w:t>
      </w:r>
      <w:proofErr w:type="spell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5909D1">
        <w:rPr>
          <w:sz w:val="28"/>
          <w:szCs w:val="28"/>
        </w:rPr>
        <w:t>3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A125ED" w:rsidRPr="00A125ED">
        <w:rPr>
          <w:b/>
          <w:i/>
          <w:sz w:val="28"/>
          <w:szCs w:val="28"/>
        </w:rPr>
        <w:t>«</w:t>
      </w:r>
      <w:proofErr w:type="gramStart"/>
      <w:r w:rsidR="00A125ED" w:rsidRPr="00A125ED">
        <w:rPr>
          <w:b/>
          <w:i/>
          <w:sz w:val="28"/>
          <w:szCs w:val="28"/>
        </w:rPr>
        <w:t>к-з</w:t>
      </w:r>
      <w:proofErr w:type="gramEnd"/>
      <w:r w:rsidR="00A125ED" w:rsidRPr="00A125ED">
        <w:rPr>
          <w:b/>
          <w:i/>
          <w:sz w:val="28"/>
          <w:szCs w:val="28"/>
        </w:rPr>
        <w:t xml:space="preserve"> Восток» х. </w:t>
      </w:r>
      <w:proofErr w:type="spellStart"/>
      <w:r w:rsidR="00A125ED" w:rsidRPr="00A125ED">
        <w:rPr>
          <w:b/>
          <w:i/>
          <w:sz w:val="28"/>
          <w:szCs w:val="28"/>
        </w:rPr>
        <w:t>Болгово</w:t>
      </w:r>
      <w:proofErr w:type="spellEnd"/>
    </w:p>
    <w:p w:rsidR="00C5444E" w:rsidRDefault="0091772F" w:rsidP="00900B18">
      <w:pPr>
        <w:spacing w:line="360" w:lineRule="auto"/>
        <w:ind w:firstLine="708"/>
        <w:rPr>
          <w:b/>
          <w:i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A125ED">
        <w:rPr>
          <w:sz w:val="28"/>
          <w:szCs w:val="28"/>
        </w:rPr>
        <w:t>3</w:t>
      </w:r>
      <w:r>
        <w:rPr>
          <w:sz w:val="28"/>
          <w:szCs w:val="28"/>
        </w:rPr>
        <w:t xml:space="preserve"> МПа.   </w:t>
      </w:r>
      <w:r w:rsidR="003F4FDC">
        <w:rPr>
          <w:b/>
          <w:i/>
          <w:szCs w:val="28"/>
        </w:rPr>
        <w:t xml:space="preserve">  </w:t>
      </w:r>
    </w:p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C5444E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C5444E" w:rsidRDefault="00EF5133" w:rsidP="00C5444E">
      <w:pPr>
        <w:ind w:left="5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44E">
        <w:rPr>
          <w:sz w:val="28"/>
          <w:szCs w:val="28"/>
        </w:rPr>
        <w:t xml:space="preserve">Расход газа на расчетный срок  по </w:t>
      </w:r>
      <w:proofErr w:type="spellStart"/>
      <w:r w:rsidR="00C5444E">
        <w:rPr>
          <w:sz w:val="28"/>
          <w:szCs w:val="28"/>
        </w:rPr>
        <w:t>Вимовскому</w:t>
      </w:r>
      <w:proofErr w:type="spellEnd"/>
      <w:r w:rsidR="00C5444E">
        <w:rPr>
          <w:sz w:val="28"/>
          <w:szCs w:val="28"/>
        </w:rPr>
        <w:t xml:space="preserve"> СП  составит:</w:t>
      </w:r>
    </w:p>
    <w:p w:rsidR="00C5444E" w:rsidRDefault="00C5444E" w:rsidP="00C5444E">
      <w:pPr>
        <w:ind w:left="525"/>
        <w:rPr>
          <w:sz w:val="28"/>
          <w:szCs w:val="28"/>
        </w:rPr>
      </w:pPr>
      <w:r>
        <w:rPr>
          <w:sz w:val="28"/>
          <w:szCs w:val="28"/>
        </w:rPr>
        <w:t>-   3273м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или    5941,9 тыс.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/ч, в том числе:</w:t>
      </w:r>
    </w:p>
    <w:p w:rsidR="00C5444E" w:rsidRDefault="00C5444E" w:rsidP="00C5444E">
      <w:pPr>
        <w:ind w:left="525"/>
        <w:rPr>
          <w:sz w:val="28"/>
          <w:szCs w:val="28"/>
        </w:rPr>
      </w:pPr>
      <w:r>
        <w:rPr>
          <w:sz w:val="28"/>
          <w:szCs w:val="28"/>
        </w:rPr>
        <w:t>- на  нужды населения – 3128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или  5679,3 тыс. м</w:t>
      </w:r>
      <w:r w:rsidRPr="00A04D1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/год;</w:t>
      </w:r>
    </w:p>
    <w:p w:rsidR="00C5444E" w:rsidRDefault="00C5444E" w:rsidP="00C5444E">
      <w:pPr>
        <w:ind w:left="525"/>
        <w:rPr>
          <w:sz w:val="28"/>
          <w:szCs w:val="28"/>
        </w:rPr>
      </w:pPr>
      <w:r w:rsidRPr="007D2566">
        <w:rPr>
          <w:sz w:val="28"/>
          <w:szCs w:val="28"/>
        </w:rPr>
        <w:t>- на нужды котельных –</w:t>
      </w:r>
      <w:r>
        <w:rPr>
          <w:sz w:val="28"/>
          <w:szCs w:val="28"/>
        </w:rPr>
        <w:t xml:space="preserve"> 145</w:t>
      </w:r>
      <w:r w:rsidRPr="007D2566">
        <w:rPr>
          <w:sz w:val="28"/>
          <w:szCs w:val="28"/>
        </w:rPr>
        <w:t xml:space="preserve"> м</w:t>
      </w:r>
      <w:r w:rsidRPr="007D2566">
        <w:rPr>
          <w:sz w:val="28"/>
          <w:szCs w:val="28"/>
          <w:vertAlign w:val="superscript"/>
        </w:rPr>
        <w:t>3</w:t>
      </w:r>
      <w:r w:rsidRPr="007D2566">
        <w:rPr>
          <w:sz w:val="28"/>
          <w:szCs w:val="28"/>
        </w:rPr>
        <w:t xml:space="preserve">/ч  или  </w:t>
      </w:r>
      <w:r>
        <w:rPr>
          <w:sz w:val="28"/>
          <w:szCs w:val="28"/>
        </w:rPr>
        <w:t xml:space="preserve"> 262,6</w:t>
      </w:r>
      <w:r w:rsidRPr="007D2566">
        <w:rPr>
          <w:sz w:val="28"/>
          <w:szCs w:val="28"/>
        </w:rPr>
        <w:t xml:space="preserve">  тыс. м</w:t>
      </w:r>
      <w:r w:rsidRPr="007D2566">
        <w:rPr>
          <w:sz w:val="28"/>
          <w:szCs w:val="28"/>
          <w:vertAlign w:val="superscript"/>
        </w:rPr>
        <w:t>3</w:t>
      </w:r>
      <w:r w:rsidRPr="007D2566">
        <w:rPr>
          <w:sz w:val="28"/>
          <w:szCs w:val="28"/>
        </w:rPr>
        <w:t>/год.</w:t>
      </w:r>
    </w:p>
    <w:p w:rsidR="00EF5133" w:rsidRDefault="00EF5133" w:rsidP="00C5444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C5444E" w:rsidRDefault="00C5444E" w:rsidP="00C5444E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C5444E">
        <w:rPr>
          <w:b/>
          <w:sz w:val="28"/>
          <w:szCs w:val="28"/>
        </w:rPr>
        <w:t xml:space="preserve">по </w:t>
      </w:r>
      <w:proofErr w:type="spellStart"/>
      <w:r w:rsidR="00C5444E">
        <w:rPr>
          <w:b/>
          <w:sz w:val="28"/>
          <w:szCs w:val="28"/>
        </w:rPr>
        <w:t>Вимовскому</w:t>
      </w:r>
      <w:proofErr w:type="spellEnd"/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BD6D24" w:rsidRDefault="00A125ED" w:rsidP="00A125ED">
      <w:r>
        <w:t xml:space="preserve">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</w:t>
      </w: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1505"/>
        <w:gridCol w:w="1300"/>
        <w:gridCol w:w="1028"/>
        <w:gridCol w:w="1054"/>
        <w:gridCol w:w="1028"/>
        <w:gridCol w:w="1054"/>
        <w:gridCol w:w="900"/>
        <w:gridCol w:w="908"/>
        <w:gridCol w:w="1574"/>
      </w:tblGrid>
      <w:tr w:rsidR="00B35339" w:rsidTr="00BD6D24">
        <w:trPr>
          <w:trHeight w:val="530"/>
        </w:trPr>
        <w:tc>
          <w:tcPr>
            <w:tcW w:w="1455" w:type="dxa"/>
            <w:vMerge w:val="restart"/>
            <w:vAlign w:val="center"/>
          </w:tcPr>
          <w:p w:rsidR="00B35339" w:rsidRPr="00E0618B" w:rsidRDefault="00B35339" w:rsidP="00B353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Населе</w:t>
            </w:r>
            <w:r w:rsidRPr="00E0618B">
              <w:rPr>
                <w:sz w:val="18"/>
                <w:szCs w:val="18"/>
              </w:rPr>
              <w:t>н</w:t>
            </w:r>
            <w:r w:rsidRPr="00E0618B">
              <w:rPr>
                <w:sz w:val="18"/>
                <w:szCs w:val="18"/>
              </w:rPr>
              <w:t>ный пункт</w:t>
            </w:r>
          </w:p>
        </w:tc>
        <w:tc>
          <w:tcPr>
            <w:tcW w:w="1259" w:type="dxa"/>
            <w:vMerge w:val="restart"/>
            <w:vAlign w:val="center"/>
          </w:tcPr>
          <w:p w:rsidR="00B35339" w:rsidRPr="00E0618B" w:rsidRDefault="00B35339" w:rsidP="00B353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Расче</w:t>
            </w:r>
            <w:r w:rsidRPr="00E0618B">
              <w:rPr>
                <w:sz w:val="18"/>
                <w:szCs w:val="18"/>
              </w:rPr>
              <w:t>т</w:t>
            </w:r>
            <w:r w:rsidRPr="00E0618B">
              <w:rPr>
                <w:sz w:val="18"/>
                <w:szCs w:val="18"/>
              </w:rPr>
              <w:t>ный период,      год</w:t>
            </w:r>
          </w:p>
        </w:tc>
        <w:tc>
          <w:tcPr>
            <w:tcW w:w="2019" w:type="dxa"/>
            <w:gridSpan w:val="2"/>
            <w:tcBorders>
              <w:right w:val="single" w:sz="4" w:space="0" w:color="auto"/>
            </w:tcBorders>
            <w:vAlign w:val="center"/>
          </w:tcPr>
          <w:p w:rsidR="00B35339" w:rsidRPr="00E0618B" w:rsidRDefault="00B35339" w:rsidP="00B353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Часовой расход газа,</w:t>
            </w:r>
          </w:p>
          <w:p w:rsidR="00B35339" w:rsidRPr="00E0618B" w:rsidRDefault="00B35339" w:rsidP="00B353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м3/ч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39" w:rsidRPr="00E0618B" w:rsidRDefault="00B35339" w:rsidP="00B3533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Годовой расход газа,                    тыс. м3/год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</w:tcBorders>
            <w:vAlign w:val="center"/>
          </w:tcPr>
          <w:p w:rsidR="00B35339" w:rsidRDefault="00B35339" w:rsidP="00B35339">
            <w:pPr>
              <w:jc w:val="center"/>
              <w:rPr>
                <w:b/>
                <w:sz w:val="28"/>
                <w:szCs w:val="28"/>
              </w:rPr>
            </w:pPr>
            <w:r w:rsidRPr="00E0618B">
              <w:rPr>
                <w:sz w:val="18"/>
                <w:szCs w:val="18"/>
              </w:rPr>
              <w:t>Общий расход газа по нас</w:t>
            </w:r>
            <w:r w:rsidRPr="00E0618B">
              <w:rPr>
                <w:sz w:val="18"/>
                <w:szCs w:val="18"/>
              </w:rPr>
              <w:t>е</w:t>
            </w:r>
            <w:r w:rsidRPr="00E0618B">
              <w:rPr>
                <w:sz w:val="18"/>
                <w:szCs w:val="18"/>
              </w:rPr>
              <w:t>ленному пункту</w:t>
            </w:r>
          </w:p>
        </w:tc>
        <w:tc>
          <w:tcPr>
            <w:tcW w:w="1698" w:type="dxa"/>
            <w:vMerge w:val="restart"/>
            <w:vAlign w:val="center"/>
          </w:tcPr>
          <w:p w:rsidR="00B35339" w:rsidRDefault="00B35339" w:rsidP="00B35339">
            <w:pPr>
              <w:jc w:val="center"/>
              <w:rPr>
                <w:b/>
                <w:sz w:val="28"/>
                <w:szCs w:val="28"/>
              </w:rPr>
            </w:pPr>
            <w:r w:rsidRPr="00E0618B">
              <w:rPr>
                <w:sz w:val="18"/>
                <w:szCs w:val="18"/>
              </w:rPr>
              <w:t>При</w:t>
            </w:r>
            <w:bookmarkStart w:id="6" w:name="_GoBack"/>
            <w:bookmarkEnd w:id="6"/>
            <w:r w:rsidRPr="00E0618B">
              <w:rPr>
                <w:sz w:val="18"/>
                <w:szCs w:val="18"/>
              </w:rPr>
              <w:t>мечание</w:t>
            </w:r>
          </w:p>
        </w:tc>
      </w:tr>
      <w:tr w:rsidR="00BD6D24" w:rsidTr="00BD6D24">
        <w:trPr>
          <w:trHeight w:val="530"/>
        </w:trPr>
        <w:tc>
          <w:tcPr>
            <w:tcW w:w="1455" w:type="dxa"/>
            <w:vMerge/>
          </w:tcPr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022" w:type="dxa"/>
            <w:tcBorders>
              <w:right w:val="single" w:sz="4" w:space="0" w:color="auto"/>
            </w:tcBorders>
          </w:tcPr>
          <w:p w:rsidR="00B35339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Котельные</w:t>
            </w:r>
          </w:p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(из раздела ТС)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39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Котельные</w:t>
            </w:r>
          </w:p>
          <w:p w:rsidR="00B35339" w:rsidRPr="00E0618B" w:rsidRDefault="00B35339" w:rsidP="007843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(из раздела ТС)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B35339" w:rsidRPr="00E0618B" w:rsidRDefault="00B35339" w:rsidP="00B3533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Часовой,</w:t>
            </w:r>
          </w:p>
          <w:p w:rsidR="00B35339" w:rsidRPr="00E0618B" w:rsidRDefault="00B35339" w:rsidP="00B35339">
            <w:pPr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М</w:t>
            </w:r>
            <w:r w:rsidRPr="00E0618B">
              <w:rPr>
                <w:sz w:val="18"/>
                <w:szCs w:val="18"/>
              </w:rPr>
              <w:t>3/</w:t>
            </w:r>
            <w:r>
              <w:rPr>
                <w:sz w:val="18"/>
                <w:szCs w:val="18"/>
              </w:rPr>
              <w:t>Ч</w:t>
            </w:r>
          </w:p>
        </w:tc>
        <w:tc>
          <w:tcPr>
            <w:tcW w:w="882" w:type="dxa"/>
          </w:tcPr>
          <w:p w:rsidR="00B35339" w:rsidRPr="00E0618B" w:rsidRDefault="00B35339" w:rsidP="00B35339">
            <w:pPr>
              <w:rPr>
                <w:sz w:val="18"/>
                <w:szCs w:val="18"/>
              </w:rPr>
            </w:pPr>
            <w:r w:rsidRPr="00E0618B">
              <w:rPr>
                <w:sz w:val="18"/>
                <w:szCs w:val="18"/>
              </w:rPr>
              <w:t>Годовой,                    тыс. м3/год</w:t>
            </w:r>
          </w:p>
        </w:tc>
        <w:tc>
          <w:tcPr>
            <w:tcW w:w="1698" w:type="dxa"/>
            <w:vMerge/>
          </w:tcPr>
          <w:p w:rsidR="00B35339" w:rsidRPr="00E0618B" w:rsidRDefault="00B35339" w:rsidP="00D560B3">
            <w:pPr>
              <w:rPr>
                <w:sz w:val="18"/>
                <w:szCs w:val="18"/>
              </w:rPr>
            </w:pPr>
          </w:p>
        </w:tc>
      </w:tr>
      <w:tr w:rsidR="00BD6D24" w:rsidTr="00BD6D24">
        <w:tc>
          <w:tcPr>
            <w:tcW w:w="1455" w:type="dxa"/>
            <w:vMerge w:val="restart"/>
          </w:tcPr>
          <w:p w:rsidR="00BD6D24" w:rsidRPr="009E0D52" w:rsidRDefault="00BD6D24" w:rsidP="00BD6D24">
            <w:pPr>
              <w:spacing w:before="0" w:after="0" w:line="360" w:lineRule="auto"/>
            </w:pPr>
          </w:p>
          <w:p w:rsidR="00BD6D24" w:rsidRPr="009E0D52" w:rsidRDefault="00BD6D24" w:rsidP="00BD6D24">
            <w:pPr>
              <w:spacing w:before="0" w:after="0" w:line="360" w:lineRule="auto"/>
            </w:pPr>
            <w:r w:rsidRPr="009E0D52">
              <w:t xml:space="preserve">п. </w:t>
            </w:r>
            <w:proofErr w:type="spellStart"/>
            <w:r w:rsidRPr="009E0D52">
              <w:t>Вимовец</w:t>
            </w:r>
            <w:proofErr w:type="spellEnd"/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сущ.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1727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2986,1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110,4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1788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3096,5</w:t>
            </w:r>
          </w:p>
        </w:tc>
        <w:tc>
          <w:tcPr>
            <w:tcW w:w="1698" w:type="dxa"/>
            <w:vMerge w:val="restart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ГРС «Ладо</w:t>
            </w:r>
            <w:r w:rsidRPr="009E0D52">
              <w:t>ж</w:t>
            </w:r>
            <w:r w:rsidRPr="009E0D52">
              <w:t>ская»</w:t>
            </w:r>
          </w:p>
        </w:tc>
      </w:tr>
      <w:tr w:rsidR="00BD6D24" w:rsidTr="00BD6D24">
        <w:tc>
          <w:tcPr>
            <w:tcW w:w="1455" w:type="dxa"/>
            <w:vMerge/>
          </w:tcPr>
          <w:p w:rsidR="00BD6D24" w:rsidRDefault="00BD6D24" w:rsidP="00BD6D24">
            <w:pPr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1-я оч</w:t>
            </w:r>
            <w:r w:rsidRPr="009E0D52">
              <w:t>е</w:t>
            </w:r>
            <w:r w:rsidRPr="009E0D52">
              <w:t>редь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1795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110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3195,1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200,3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1905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3395,4</w:t>
            </w:r>
          </w:p>
        </w:tc>
        <w:tc>
          <w:tcPr>
            <w:tcW w:w="1698" w:type="dxa"/>
            <w:vMerge/>
            <w:vAlign w:val="center"/>
          </w:tcPr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D6D24" w:rsidTr="00BD6D24">
        <w:tc>
          <w:tcPr>
            <w:tcW w:w="1455" w:type="dxa"/>
            <w:vMerge/>
          </w:tcPr>
          <w:p w:rsidR="00BD6D24" w:rsidRDefault="00BD6D24" w:rsidP="00BD6D24">
            <w:pPr>
              <w:spacing w:before="0" w:after="0"/>
              <w:rPr>
                <w:b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расче</w:t>
            </w:r>
            <w:r w:rsidRPr="009E0D52">
              <w:t>т</w:t>
            </w:r>
            <w:r w:rsidRPr="009E0D52">
              <w:t>ный срок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1916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124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3484,2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225,8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2040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9E0D52">
              <w:t>3710.0</w:t>
            </w:r>
          </w:p>
        </w:tc>
        <w:tc>
          <w:tcPr>
            <w:tcW w:w="1698" w:type="dxa"/>
            <w:vMerge/>
            <w:vAlign w:val="center"/>
          </w:tcPr>
          <w:p w:rsidR="00BD6D24" w:rsidRDefault="00BD6D24" w:rsidP="00BD6D24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D6D24" w:rsidTr="00BD6D24">
        <w:tc>
          <w:tcPr>
            <w:tcW w:w="1455" w:type="dxa"/>
            <w:vMerge w:val="restart"/>
          </w:tcPr>
          <w:p w:rsidR="00BD6D24" w:rsidRPr="009E0D52" w:rsidRDefault="00BD6D24" w:rsidP="00BD6D24">
            <w:pPr>
              <w:spacing w:before="0" w:after="0"/>
            </w:pPr>
          </w:p>
          <w:p w:rsidR="00BD6D24" w:rsidRPr="009E0D52" w:rsidRDefault="00BD6D24" w:rsidP="00BD6D24">
            <w:pPr>
              <w:spacing w:before="0" w:after="0"/>
            </w:pPr>
            <w:r w:rsidRPr="009E0D52">
              <w:t>п. Южный</w:t>
            </w: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сущ.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1111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21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1930,1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36,8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1132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1966,9</w:t>
            </w:r>
          </w:p>
        </w:tc>
        <w:tc>
          <w:tcPr>
            <w:tcW w:w="1698" w:type="dxa"/>
            <w:vMerge w:val="restart"/>
          </w:tcPr>
          <w:p w:rsidR="00BD6D24" w:rsidRPr="009E0D52" w:rsidRDefault="00BD6D24" w:rsidP="00BD6D24">
            <w:pPr>
              <w:spacing w:before="0" w:after="0"/>
            </w:pPr>
            <w:r w:rsidRPr="009E0D52">
              <w:t>ГРС «Ладо</w:t>
            </w:r>
            <w:r w:rsidRPr="009E0D52">
              <w:t>ж</w:t>
            </w:r>
            <w:r w:rsidRPr="009E0D52">
              <w:t>ская»</w:t>
            </w:r>
          </w:p>
        </w:tc>
      </w:tr>
      <w:tr w:rsidR="00BD6D24" w:rsidTr="00BD6D24">
        <w:tc>
          <w:tcPr>
            <w:tcW w:w="1455" w:type="dxa"/>
            <w:vMerge/>
          </w:tcPr>
          <w:p w:rsidR="00BD6D24" w:rsidRPr="009E0D52" w:rsidRDefault="00BD6D24" w:rsidP="00BD6D24">
            <w:pPr>
              <w:spacing w:before="0" w:after="0"/>
            </w:pP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1-я оч</w:t>
            </w:r>
            <w:r w:rsidRPr="009E0D52">
              <w:t>е</w:t>
            </w:r>
            <w:r w:rsidRPr="009E0D52">
              <w:t>редь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1157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21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2033,3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36,8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1178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2070,1</w:t>
            </w:r>
          </w:p>
        </w:tc>
        <w:tc>
          <w:tcPr>
            <w:tcW w:w="1698" w:type="dxa"/>
            <w:vMerge/>
          </w:tcPr>
          <w:p w:rsidR="00BD6D24" w:rsidRPr="009E0D52" w:rsidRDefault="00BD6D24" w:rsidP="00BD6D24">
            <w:pPr>
              <w:spacing w:before="0" w:after="0"/>
            </w:pPr>
          </w:p>
        </w:tc>
      </w:tr>
      <w:tr w:rsidR="00BD6D24" w:rsidTr="00BD6D24">
        <w:tc>
          <w:tcPr>
            <w:tcW w:w="1455" w:type="dxa"/>
            <w:vMerge/>
          </w:tcPr>
          <w:p w:rsidR="00BD6D24" w:rsidRPr="009E0D52" w:rsidRDefault="00BD6D24" w:rsidP="00784332">
            <w:pPr>
              <w:spacing w:line="360" w:lineRule="auto"/>
            </w:pP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  <w:proofErr w:type="gramStart"/>
            <w:r w:rsidRPr="009E0D52">
              <w:t>Р</w:t>
            </w:r>
            <w:r w:rsidRPr="009E0D52">
              <w:t>асче</w:t>
            </w:r>
            <w:r w:rsidRPr="009E0D52">
              <w:t>т</w:t>
            </w:r>
            <w:r>
              <w:t>-</w:t>
            </w:r>
            <w:r w:rsidRPr="009E0D52">
              <w:t>ный</w:t>
            </w:r>
            <w:proofErr w:type="gramEnd"/>
            <w:r w:rsidRPr="009E0D52">
              <w:t xml:space="preserve"> срок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1212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21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2195,1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36,8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1233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line="360" w:lineRule="auto"/>
              <w:jc w:val="center"/>
            </w:pPr>
          </w:p>
          <w:p w:rsidR="00BD6D24" w:rsidRPr="009E0D52" w:rsidRDefault="00BD6D24" w:rsidP="00BD6D24">
            <w:pPr>
              <w:spacing w:line="360" w:lineRule="auto"/>
              <w:jc w:val="center"/>
            </w:pPr>
            <w:r w:rsidRPr="009E0D52">
              <w:t>2231,9</w:t>
            </w:r>
          </w:p>
        </w:tc>
        <w:tc>
          <w:tcPr>
            <w:tcW w:w="1698" w:type="dxa"/>
            <w:vMerge/>
          </w:tcPr>
          <w:p w:rsidR="00BD6D24" w:rsidRPr="009E0D52" w:rsidRDefault="00BD6D24" w:rsidP="00784332">
            <w:pPr>
              <w:spacing w:line="360" w:lineRule="auto"/>
            </w:pPr>
          </w:p>
        </w:tc>
      </w:tr>
      <w:tr w:rsidR="00BD6D24" w:rsidTr="00BD6D24">
        <w:tc>
          <w:tcPr>
            <w:tcW w:w="1455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 xml:space="preserve">Итого:  </w:t>
            </w:r>
            <w:r>
              <w:t xml:space="preserve">                  п</w:t>
            </w:r>
            <w:r w:rsidRPr="009E0D52">
              <w:t xml:space="preserve">о </w:t>
            </w:r>
            <w:proofErr w:type="spellStart"/>
            <w:r w:rsidRPr="009E0D52">
              <w:t>Вимо</w:t>
            </w:r>
            <w:r w:rsidRPr="009E0D52">
              <w:t>в</w:t>
            </w:r>
            <w:r w:rsidRPr="009E0D52">
              <w:t>скому</w:t>
            </w:r>
            <w:proofErr w:type="spellEnd"/>
            <w:r w:rsidRPr="009E0D52">
              <w:t xml:space="preserve"> СП</w:t>
            </w: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сущ.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2838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81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4916,2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147,2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2919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5063,4</w:t>
            </w:r>
          </w:p>
        </w:tc>
        <w:tc>
          <w:tcPr>
            <w:tcW w:w="1698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</w:tc>
      </w:tr>
      <w:tr w:rsidR="00BD6D24" w:rsidTr="00BD6D24">
        <w:tc>
          <w:tcPr>
            <w:tcW w:w="1455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1-я оч</w:t>
            </w:r>
            <w:r w:rsidRPr="009E0D52">
              <w:t>е</w:t>
            </w:r>
            <w:r w:rsidRPr="009E0D52">
              <w:t>редь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2952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131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5228,4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237,1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3083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5465,5</w:t>
            </w:r>
          </w:p>
        </w:tc>
        <w:tc>
          <w:tcPr>
            <w:tcW w:w="1698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</w:tc>
      </w:tr>
      <w:tr w:rsidR="00BD6D24" w:rsidTr="00BD6D24">
        <w:tc>
          <w:tcPr>
            <w:tcW w:w="1455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</w:tc>
        <w:tc>
          <w:tcPr>
            <w:tcW w:w="1259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  <w:proofErr w:type="gramStart"/>
            <w:r w:rsidRPr="009E0D52">
              <w:t>Р</w:t>
            </w:r>
            <w:r w:rsidRPr="009E0D52">
              <w:t>асче</w:t>
            </w:r>
            <w:r w:rsidRPr="009E0D52">
              <w:t>т</w:t>
            </w:r>
            <w:r>
              <w:t>-</w:t>
            </w:r>
            <w:r w:rsidRPr="009E0D52">
              <w:t>ный</w:t>
            </w:r>
            <w:proofErr w:type="gramEnd"/>
            <w:r w:rsidRPr="009E0D52">
              <w:t xml:space="preserve"> срок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3128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145</w:t>
            </w:r>
          </w:p>
        </w:tc>
        <w:tc>
          <w:tcPr>
            <w:tcW w:w="997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5679,3</w:t>
            </w:r>
          </w:p>
        </w:tc>
        <w:tc>
          <w:tcPr>
            <w:tcW w:w="102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262,6</w:t>
            </w:r>
          </w:p>
        </w:tc>
        <w:tc>
          <w:tcPr>
            <w:tcW w:w="874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3273</w:t>
            </w:r>
          </w:p>
        </w:tc>
        <w:tc>
          <w:tcPr>
            <w:tcW w:w="882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  <w:p w:rsidR="00BD6D24" w:rsidRPr="009E0D52" w:rsidRDefault="00BD6D24" w:rsidP="00BD6D24">
            <w:pPr>
              <w:spacing w:before="0" w:after="0"/>
              <w:jc w:val="center"/>
            </w:pPr>
            <w:r w:rsidRPr="009E0D52">
              <w:t>5941.9</w:t>
            </w:r>
          </w:p>
        </w:tc>
        <w:tc>
          <w:tcPr>
            <w:tcW w:w="1698" w:type="dxa"/>
            <w:vAlign w:val="center"/>
          </w:tcPr>
          <w:p w:rsidR="00BD6D24" w:rsidRPr="009E0D52" w:rsidRDefault="00BD6D24" w:rsidP="00BD6D24">
            <w:pPr>
              <w:spacing w:before="0" w:after="0"/>
              <w:jc w:val="center"/>
            </w:pPr>
          </w:p>
        </w:tc>
      </w:tr>
    </w:tbl>
    <w:p w:rsidR="00BD6D24" w:rsidRDefault="00BD6D24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0"/>
        <w:gridCol w:w="250"/>
        <w:gridCol w:w="939"/>
        <w:gridCol w:w="273"/>
        <w:gridCol w:w="1015"/>
        <w:gridCol w:w="299"/>
        <w:gridCol w:w="1652"/>
        <w:gridCol w:w="341"/>
        <w:gridCol w:w="958"/>
        <w:gridCol w:w="220"/>
        <w:gridCol w:w="1413"/>
        <w:gridCol w:w="68"/>
      </w:tblGrid>
      <w:tr w:rsidR="00EA06F7" w:rsidRPr="00457B67" w:rsidTr="00F536EA">
        <w:trPr>
          <w:trHeight w:val="375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F7" w:rsidRPr="00EA06F7" w:rsidRDefault="008C0EBE" w:rsidP="00EA06F7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Вимовец</w:t>
            </w:r>
            <w:proofErr w:type="spellEnd"/>
          </w:p>
        </w:tc>
      </w:tr>
      <w:tr w:rsidR="00EA06F7" w:rsidRPr="00457B67" w:rsidTr="00F536EA">
        <w:trPr>
          <w:trHeight w:val="1275"/>
        </w:trPr>
        <w:tc>
          <w:tcPr>
            <w:tcW w:w="25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Рабочее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давле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Матери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5909D1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Расчет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ный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proofErr w:type="gramStart"/>
            <w:r w:rsidRPr="00C14C2A">
              <w:t>к</w:t>
            </w:r>
            <w:proofErr w:type="gramEnd"/>
            <w:r w:rsidRPr="00C14C2A">
              <w:t xml:space="preserve"> проект. ШРП №1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0,</w:t>
            </w:r>
            <w: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440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к проект</w:t>
            </w:r>
            <w:proofErr w:type="gramStart"/>
            <w:r w:rsidRPr="00C14C2A">
              <w:t>.</w:t>
            </w:r>
            <w:proofErr w:type="gramEnd"/>
            <w:r w:rsidRPr="00C14C2A">
              <w:t xml:space="preserve"> </w:t>
            </w:r>
            <w:proofErr w:type="gramStart"/>
            <w:r w:rsidRPr="00C14C2A">
              <w:t>к</w:t>
            </w:r>
            <w:proofErr w:type="gramEnd"/>
            <w:r w:rsidRPr="00C14C2A">
              <w:t>отельной №2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>
              <w:t>0,3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280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к проект</w:t>
            </w:r>
            <w:proofErr w:type="gramStart"/>
            <w:r w:rsidRPr="00C14C2A">
              <w:t>.</w:t>
            </w:r>
            <w:proofErr w:type="gramEnd"/>
            <w:r w:rsidRPr="00C14C2A">
              <w:t xml:space="preserve"> </w:t>
            </w:r>
            <w:proofErr w:type="gramStart"/>
            <w:r w:rsidRPr="00C14C2A">
              <w:t>к</w:t>
            </w:r>
            <w:proofErr w:type="gramEnd"/>
            <w:r w:rsidRPr="00C14C2A">
              <w:t>отельной №3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>
              <w:t>0,3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к проект</w:t>
            </w:r>
            <w:proofErr w:type="gramStart"/>
            <w:r w:rsidRPr="00C14C2A">
              <w:t>.</w:t>
            </w:r>
            <w:proofErr w:type="gramEnd"/>
            <w:r w:rsidRPr="00C14C2A">
              <w:t xml:space="preserve"> </w:t>
            </w:r>
            <w:proofErr w:type="gramStart"/>
            <w:r w:rsidRPr="00C14C2A">
              <w:t>к</w:t>
            </w:r>
            <w:proofErr w:type="gramEnd"/>
            <w:r w:rsidRPr="00C14C2A">
              <w:t>отельной №4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0</w:t>
            </w:r>
            <w:r>
              <w:t>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к проект</w:t>
            </w:r>
            <w:proofErr w:type="gramStart"/>
            <w:r w:rsidRPr="00C14C2A">
              <w:t>.</w:t>
            </w:r>
            <w:proofErr w:type="gramEnd"/>
            <w:r w:rsidRPr="00C14C2A">
              <w:t xml:space="preserve"> </w:t>
            </w:r>
            <w:proofErr w:type="gramStart"/>
            <w:r w:rsidRPr="00C14C2A">
              <w:t>к</w:t>
            </w:r>
            <w:proofErr w:type="gramEnd"/>
            <w:r w:rsidRPr="00C14C2A">
              <w:t>отельной №5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>
              <w:t>0,3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к проект</w:t>
            </w:r>
            <w:proofErr w:type="gramStart"/>
            <w:r w:rsidRPr="00C14C2A">
              <w:t>.</w:t>
            </w:r>
            <w:proofErr w:type="gramEnd"/>
            <w:r w:rsidRPr="00C14C2A">
              <w:t xml:space="preserve"> </w:t>
            </w:r>
            <w:proofErr w:type="gramStart"/>
            <w:r w:rsidRPr="00C14C2A">
              <w:t>к</w:t>
            </w:r>
            <w:proofErr w:type="gramEnd"/>
            <w:r w:rsidRPr="00C14C2A">
              <w:t>отельной №1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>
              <w:t>0.3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160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EBE" w:rsidRPr="00457B67" w:rsidRDefault="008C0EBE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0EBE" w:rsidRPr="00457B67" w:rsidTr="00F536EA">
        <w:trPr>
          <w:gridAfter w:val="1"/>
          <w:wAfter w:w="68" w:type="dxa"/>
          <w:trHeight w:val="300"/>
        </w:trPr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EBE" w:rsidRPr="00696407" w:rsidRDefault="008C0EBE" w:rsidP="008C0EBE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</w:t>
            </w:r>
            <w:r w:rsidRPr="00696407">
              <w:rPr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Южный</w:t>
            </w:r>
          </w:p>
        </w:tc>
      </w:tr>
      <w:tr w:rsidR="008C0EBE" w:rsidRPr="00457B67" w:rsidTr="00F536EA">
        <w:trPr>
          <w:gridAfter w:val="1"/>
          <w:wAfter w:w="68" w:type="dxa"/>
          <w:trHeight w:val="127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457B67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EBE" w:rsidRPr="00457B67" w:rsidRDefault="008C0EBE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8C0EBE" w:rsidRPr="00457B67" w:rsidTr="00F536EA">
        <w:trPr>
          <w:gridAfter w:val="1"/>
          <w:wAfter w:w="68" w:type="dxa"/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roofErr w:type="gramStart"/>
            <w:r>
              <w:t>К</w:t>
            </w:r>
            <w:proofErr w:type="gramEnd"/>
            <w:r w:rsidRPr="00C14C2A">
              <w:t xml:space="preserve"> проект. ШРП №3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F536EA">
            <w:pPr>
              <w:jc w:val="center"/>
            </w:pPr>
            <w:r w:rsidRPr="00C14C2A">
              <w:t>0,</w:t>
            </w:r>
            <w:r w:rsidR="00F536EA">
              <w:t>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560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gridAfter w:val="1"/>
          <w:wAfter w:w="68" w:type="dxa"/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proofErr w:type="gramStart"/>
            <w:r>
              <w:t>К</w:t>
            </w:r>
            <w:proofErr w:type="gramEnd"/>
            <w:r w:rsidRPr="00C14C2A">
              <w:t xml:space="preserve"> проект. ШРП №2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F536EA" w:rsidP="008C0EBE">
            <w:pPr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780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  <w:tr w:rsidR="008C0EBE" w:rsidRPr="00457B67" w:rsidTr="00F536EA">
        <w:trPr>
          <w:gridAfter w:val="1"/>
          <w:wAfter w:w="68" w:type="dxa"/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C0EBE" w:rsidRPr="00C14C2A" w:rsidRDefault="008C0EBE" w:rsidP="008C0EBE">
            <w:r>
              <w:t>К</w:t>
            </w:r>
            <w:r w:rsidRPr="00C14C2A">
              <w:t xml:space="preserve"> сущ. котельной МДОУ №31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F536EA" w:rsidP="008C0EBE">
            <w:pPr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C0EBE" w:rsidRPr="00C14C2A" w:rsidRDefault="008C0EBE" w:rsidP="008C0EBE">
            <w:pPr>
              <w:jc w:val="center"/>
            </w:pPr>
            <w:r w:rsidRPr="00C14C2A">
              <w:t>120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EBE" w:rsidRPr="00C14C2A" w:rsidRDefault="008C0EBE" w:rsidP="008C0EBE">
            <w:pPr>
              <w:jc w:val="center"/>
            </w:pPr>
            <w:r w:rsidRPr="00C14C2A">
              <w:t>2030</w:t>
            </w:r>
          </w:p>
        </w:tc>
      </w:tr>
    </w:tbl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F536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F536E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- 0,6 МПа (6,0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</w:p>
    <w:p w:rsidR="00F536EA" w:rsidRDefault="00F536EA" w:rsidP="00F536EA">
      <w:pPr>
        <w:spacing w:before="0" w:after="0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12"/>
        <w:gridCol w:w="1314"/>
        <w:gridCol w:w="1256"/>
        <w:gridCol w:w="1178"/>
        <w:gridCol w:w="1419"/>
      </w:tblGrid>
      <w:tr w:rsidR="00617F8B" w:rsidRPr="00CE010A" w:rsidTr="001F3501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332" w:rsidRDefault="00F536EA" w:rsidP="00F536EA">
            <w:pPr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п. </w:t>
            </w:r>
            <w:proofErr w:type="spellStart"/>
            <w:r>
              <w:rPr>
                <w:b/>
                <w:i/>
                <w:sz w:val="28"/>
                <w:szCs w:val="28"/>
              </w:rPr>
              <w:t>Вимовец</w:t>
            </w:r>
            <w:proofErr w:type="spellEnd"/>
          </w:p>
          <w:p w:rsidR="00395332" w:rsidRPr="00617F8B" w:rsidRDefault="00395332" w:rsidP="00F536EA">
            <w:pPr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F536EA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F536EA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F536EA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F536EA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395332" w:rsidP="00F536EA">
            <w:pPr>
              <w:spacing w:before="0" w:after="0"/>
              <w:jc w:val="right"/>
              <w:rPr>
                <w:color w:val="000000"/>
                <w:sz w:val="22"/>
                <w:szCs w:val="22"/>
              </w:rPr>
            </w:pPr>
            <w:r w:rsidRPr="00512739">
              <w:t>Таблица</w:t>
            </w:r>
            <w:r>
              <w:t xml:space="preserve"> </w:t>
            </w:r>
            <w:r w:rsidR="0021244F">
              <w:t>6</w:t>
            </w:r>
          </w:p>
        </w:tc>
      </w:tr>
    </w:tbl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7796"/>
        <w:gridCol w:w="2235"/>
      </w:tblGrid>
      <w:tr w:rsidR="007D44EC" w:rsidTr="007D44EC">
        <w:trPr>
          <w:trHeight w:val="438"/>
        </w:trPr>
        <w:tc>
          <w:tcPr>
            <w:tcW w:w="7796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27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именова</w:t>
            </w:r>
            <w:r w:rsidRPr="00512739">
              <w:rPr>
                <w:sz w:val="28"/>
                <w:szCs w:val="28"/>
              </w:rPr>
              <w:t>ние</w:t>
            </w:r>
          </w:p>
        </w:tc>
        <w:tc>
          <w:tcPr>
            <w:tcW w:w="2235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 w:rsidRPr="00512739">
              <w:rPr>
                <w:sz w:val="28"/>
                <w:szCs w:val="28"/>
              </w:rPr>
              <w:t>Расчетный срок, год</w:t>
            </w:r>
          </w:p>
        </w:tc>
      </w:tr>
      <w:tr w:rsidR="00F16D28" w:rsidTr="00F25E7B">
        <w:trPr>
          <w:trHeight w:val="371"/>
        </w:trPr>
        <w:tc>
          <w:tcPr>
            <w:tcW w:w="7796" w:type="dxa"/>
            <w:vAlign w:val="bottom"/>
          </w:tcPr>
          <w:p w:rsidR="00F16D28" w:rsidRPr="00A812FC" w:rsidRDefault="00EA06F7" w:rsidP="00EA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ШРП №1</w:t>
            </w:r>
          </w:p>
        </w:tc>
        <w:tc>
          <w:tcPr>
            <w:tcW w:w="2235" w:type="dxa"/>
            <w:vAlign w:val="bottom"/>
          </w:tcPr>
          <w:p w:rsidR="00F16D28" w:rsidRPr="00512739" w:rsidRDefault="00EA06F7" w:rsidP="00EA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2225"/>
      </w:tblGrid>
      <w:tr w:rsidR="00696407" w:rsidRPr="006F0FCF" w:rsidTr="00F536EA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5F48" w:rsidRPr="00696407" w:rsidRDefault="00F536EA" w:rsidP="00F536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</w:t>
            </w:r>
            <w:r w:rsidR="00696407" w:rsidRPr="00696407">
              <w:rPr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Южный</w:t>
            </w:r>
          </w:p>
        </w:tc>
      </w:tr>
      <w:tr w:rsidR="00696407" w:rsidRPr="00457B67" w:rsidTr="00F536EA">
        <w:trPr>
          <w:trHeight w:val="300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Название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Расчетный срок, год</w:t>
            </w:r>
          </w:p>
        </w:tc>
      </w:tr>
      <w:tr w:rsidR="00696407" w:rsidRPr="00457B67" w:rsidTr="00F536EA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F536EA">
            <w:r w:rsidRPr="00457B67">
              <w:t xml:space="preserve">ШРП № </w:t>
            </w:r>
            <w:r w:rsidR="00F536EA"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  <w:tr w:rsidR="00696407" w:rsidRPr="00457B67" w:rsidTr="00F536EA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F536EA">
            <w:r w:rsidRPr="00457B67">
              <w:t xml:space="preserve">ШРП № </w:t>
            </w:r>
            <w:r w:rsidR="00F536EA"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EA3B57" w:rsidRDefault="00F536EA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288B" w:rsidRPr="00EA3B57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EA3B57" w:rsidRDefault="00F536EA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517,561</w:t>
            </w:r>
            <w:r w:rsidR="000E288B" w:rsidRPr="00EA3B57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EA3B57" w:rsidRDefault="00F536EA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  <w:r w:rsidR="000E288B" w:rsidRPr="00EA3B57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EA3B57" w:rsidRDefault="00F536EA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4364,459</w:t>
            </w:r>
            <w:r w:rsidR="000E288B" w:rsidRPr="00EA3B57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F536EA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1E" w:rsidRDefault="00D02A1E" w:rsidP="004E6206">
      <w:pPr>
        <w:spacing w:before="0" w:after="0"/>
      </w:pPr>
      <w:r>
        <w:separator/>
      </w:r>
    </w:p>
  </w:endnote>
  <w:endnote w:type="continuationSeparator" w:id="0">
    <w:p w:rsidR="00D02A1E" w:rsidRDefault="00D02A1E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Default="000E143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D6D24" w:rsidRPr="00BD6D24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0E1437" w:rsidRDefault="000E1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1E" w:rsidRDefault="00D02A1E" w:rsidP="004E6206">
      <w:pPr>
        <w:spacing w:before="0" w:after="0"/>
      </w:pPr>
      <w:r>
        <w:separator/>
      </w:r>
    </w:p>
  </w:footnote>
  <w:footnote w:type="continuationSeparator" w:id="0">
    <w:p w:rsidR="00D02A1E" w:rsidRDefault="00D02A1E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Pr="004E6206" w:rsidRDefault="000E1437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0E1437" w:rsidRDefault="000E1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530A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E4EAA"/>
    <w:rsid w:val="003F4FDC"/>
    <w:rsid w:val="0041250A"/>
    <w:rsid w:val="00432B8D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772544"/>
    <w:rsid w:val="00773F33"/>
    <w:rsid w:val="007C73E8"/>
    <w:rsid w:val="007D44EC"/>
    <w:rsid w:val="00802D77"/>
    <w:rsid w:val="00804158"/>
    <w:rsid w:val="00834675"/>
    <w:rsid w:val="00895055"/>
    <w:rsid w:val="008A09B6"/>
    <w:rsid w:val="008C0EBE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2264"/>
    <w:rsid w:val="009C445C"/>
    <w:rsid w:val="009E26B0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D5062"/>
    <w:rsid w:val="00AE1A6E"/>
    <w:rsid w:val="00B27718"/>
    <w:rsid w:val="00B35339"/>
    <w:rsid w:val="00B40B67"/>
    <w:rsid w:val="00B41659"/>
    <w:rsid w:val="00B440E3"/>
    <w:rsid w:val="00B45B37"/>
    <w:rsid w:val="00BB756F"/>
    <w:rsid w:val="00BD13C3"/>
    <w:rsid w:val="00BD6D24"/>
    <w:rsid w:val="00BE3305"/>
    <w:rsid w:val="00BE3874"/>
    <w:rsid w:val="00BF7B96"/>
    <w:rsid w:val="00C02F40"/>
    <w:rsid w:val="00C5444E"/>
    <w:rsid w:val="00C73322"/>
    <w:rsid w:val="00C97F25"/>
    <w:rsid w:val="00CB4E64"/>
    <w:rsid w:val="00CF044C"/>
    <w:rsid w:val="00CF447C"/>
    <w:rsid w:val="00D02A1E"/>
    <w:rsid w:val="00D02C97"/>
    <w:rsid w:val="00D157CE"/>
    <w:rsid w:val="00D560B3"/>
    <w:rsid w:val="00D80926"/>
    <w:rsid w:val="00D8171E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A3B57"/>
    <w:rsid w:val="00EB3B8A"/>
    <w:rsid w:val="00EB5AB9"/>
    <w:rsid w:val="00EF4536"/>
    <w:rsid w:val="00EF5133"/>
    <w:rsid w:val="00F16D28"/>
    <w:rsid w:val="00F25E7B"/>
    <w:rsid w:val="00F40555"/>
    <w:rsid w:val="00F536EA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570B-C8AE-417F-9731-BCFD46CE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12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Ольга</cp:lastModifiedBy>
  <cp:revision>3</cp:revision>
  <cp:lastPrinted>2013-04-23T05:38:00Z</cp:lastPrinted>
  <dcterms:created xsi:type="dcterms:W3CDTF">2013-04-22T05:27:00Z</dcterms:created>
  <dcterms:modified xsi:type="dcterms:W3CDTF">2013-09-02T15:46:00Z</dcterms:modified>
</cp:coreProperties>
</file>